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C6928" w14:paraId="3242E9A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DE17E6" w14:textId="1AED0578" w:rsidR="005C6928" w:rsidRDefault="00565B37">
            <w:pPr>
              <w:spacing w:after="0" w:line="240" w:lineRule="auto"/>
            </w:pPr>
            <w:r>
              <w:rPr>
                <w:b/>
              </w:rPr>
              <w:t xml:space="preserve"> </w:t>
            </w:r>
            <w:r w:rsidR="0090404C"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D47B04B" w14:textId="77777777" w:rsidR="005C6928" w:rsidRDefault="0090404C">
            <w:pPr>
              <w:spacing w:after="0" w:line="240" w:lineRule="auto"/>
            </w:pPr>
            <w:r>
              <w:t>31577</w:t>
            </w:r>
          </w:p>
        </w:tc>
      </w:tr>
      <w:tr w:rsidR="005C6928" w14:paraId="7E006F5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C09FB7D" w14:textId="77777777" w:rsidR="005C6928" w:rsidRDefault="0090404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601CC1E" w14:textId="77777777" w:rsidR="005C6928" w:rsidRDefault="0090404C">
            <w:pPr>
              <w:spacing w:after="0" w:line="240" w:lineRule="auto"/>
            </w:pPr>
            <w:r>
              <w:t>DJEČJI VRTIĆ LEPOGLAVA</w:t>
            </w:r>
          </w:p>
        </w:tc>
      </w:tr>
      <w:tr w:rsidR="005C6928" w14:paraId="4DB95C8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1BC51A4" w14:textId="77777777" w:rsidR="005C6928" w:rsidRDefault="0090404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094F64A" w14:textId="77777777" w:rsidR="005C6928" w:rsidRDefault="0090404C">
            <w:pPr>
              <w:spacing w:after="0" w:line="240" w:lineRule="auto"/>
            </w:pPr>
            <w:r>
              <w:t>21</w:t>
            </w:r>
          </w:p>
        </w:tc>
      </w:tr>
    </w:tbl>
    <w:p w14:paraId="5B1EC915" w14:textId="77777777" w:rsidR="005C6928" w:rsidRDefault="0090404C">
      <w:r>
        <w:br/>
      </w:r>
    </w:p>
    <w:p w14:paraId="47150D02" w14:textId="77777777" w:rsidR="005C6928" w:rsidRDefault="0090404C" w:rsidP="00E619A3">
      <w:pPr>
        <w:spacing w:line="240" w:lineRule="auto"/>
        <w:ind w:left="1416" w:firstLine="708"/>
        <w:jc w:val="both"/>
      </w:pPr>
      <w:r>
        <w:rPr>
          <w:b/>
          <w:sz w:val="28"/>
        </w:rPr>
        <w:t>BILJEŠKE UZ FINANCIJSKE IZVJEŠTAJE</w:t>
      </w:r>
    </w:p>
    <w:p w14:paraId="0DA0F287" w14:textId="77777777" w:rsidR="005C6928" w:rsidRDefault="0090404C" w:rsidP="00E619A3">
      <w:pPr>
        <w:spacing w:line="240" w:lineRule="auto"/>
        <w:ind w:left="2832" w:firstLine="708"/>
        <w:jc w:val="both"/>
      </w:pPr>
      <w:r>
        <w:rPr>
          <w:b/>
          <w:sz w:val="28"/>
        </w:rPr>
        <w:t>ZA RAZDOBLJE</w:t>
      </w:r>
    </w:p>
    <w:p w14:paraId="7284CEA0" w14:textId="47E03507" w:rsidR="005C6928" w:rsidRDefault="00E619A3" w:rsidP="00E619A3">
      <w:pPr>
        <w:spacing w:line="240" w:lineRule="auto"/>
        <w:ind w:left="2832" w:firstLine="708"/>
        <w:jc w:val="both"/>
      </w:pPr>
      <w:r>
        <w:rPr>
          <w:b/>
          <w:sz w:val="28"/>
        </w:rPr>
        <w:t xml:space="preserve">     </w:t>
      </w:r>
      <w:r w:rsidR="0090404C">
        <w:rPr>
          <w:b/>
          <w:sz w:val="28"/>
        </w:rPr>
        <w:t xml:space="preserve">I - </w:t>
      </w:r>
      <w:r w:rsidR="008A3F8D">
        <w:rPr>
          <w:b/>
          <w:sz w:val="28"/>
        </w:rPr>
        <w:t>XII</w:t>
      </w:r>
      <w:r w:rsidR="0090404C">
        <w:rPr>
          <w:b/>
          <w:sz w:val="28"/>
        </w:rPr>
        <w:t xml:space="preserve"> 2025.</w:t>
      </w:r>
    </w:p>
    <w:p w14:paraId="6BF7C90F" w14:textId="77777777" w:rsidR="005C6928" w:rsidRDefault="005C6928"/>
    <w:p w14:paraId="1BE924E2" w14:textId="77777777" w:rsidR="005C6928" w:rsidRDefault="0090404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A38C33F" w14:textId="77777777" w:rsidR="005C6928" w:rsidRDefault="0090404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3E03355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73D39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49EC9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C27C9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F2EA7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D7970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7D13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6928" w14:paraId="79B230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32D78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9411AA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65BA9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71F04" w14:textId="376412A9" w:rsidR="005C6928" w:rsidRPr="00F642E7" w:rsidRDefault="008A3F8D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F642E7">
              <w:rPr>
                <w:sz w:val="18"/>
                <w:szCs w:val="18"/>
              </w:rPr>
              <w:t>882.303,72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5D8DE7" w14:textId="284DD4A6" w:rsidR="005C6928" w:rsidRPr="00F642E7" w:rsidRDefault="008A3F8D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F642E7">
              <w:rPr>
                <w:sz w:val="18"/>
                <w:szCs w:val="18"/>
              </w:rPr>
              <w:t>1.177.349,65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9D2A2" w14:textId="0A2F4F91" w:rsidR="005C6928" w:rsidRPr="00F642E7" w:rsidRDefault="00F642E7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F642E7">
              <w:rPr>
                <w:sz w:val="18"/>
                <w:szCs w:val="18"/>
              </w:rPr>
              <w:t>133,4</w:t>
            </w:r>
          </w:p>
        </w:tc>
      </w:tr>
      <w:tr w:rsidR="005C6928" w14:paraId="2E1AD14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2FE13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D9E543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D0452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B947B" w14:textId="4F035DA9" w:rsidR="005C6928" w:rsidRPr="00F642E7" w:rsidRDefault="008A3F8D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F642E7">
              <w:rPr>
                <w:sz w:val="18"/>
                <w:szCs w:val="18"/>
              </w:rPr>
              <w:t>882.139,87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C1297" w14:textId="50FB0F4C" w:rsidR="005C6928" w:rsidRPr="00F642E7" w:rsidRDefault="00F642E7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F642E7">
              <w:rPr>
                <w:sz w:val="18"/>
                <w:szCs w:val="18"/>
              </w:rPr>
              <w:t>1.128.622,32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217E1" w14:textId="02DD336F" w:rsidR="005C6928" w:rsidRPr="00F642E7" w:rsidRDefault="00F642E7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F642E7">
              <w:rPr>
                <w:sz w:val="18"/>
                <w:szCs w:val="18"/>
              </w:rPr>
              <w:t>127,9</w:t>
            </w:r>
          </w:p>
        </w:tc>
      </w:tr>
      <w:tr w:rsidR="005C6928" w14:paraId="384FD9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C6A83" w14:textId="77777777" w:rsidR="005C6928" w:rsidRDefault="005C69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EF00E1" w14:textId="211B55A2" w:rsidR="005C6928" w:rsidRDefault="00F64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170B0" w14:textId="67D537B4" w:rsidR="005C6928" w:rsidRDefault="00F64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CC536" w14:textId="3BC10B9E" w:rsidR="005C6928" w:rsidRDefault="00F64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368814" w14:textId="7F505CB5" w:rsidR="005C6928" w:rsidRDefault="00F64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48.727,33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F417A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C6928" w14:paraId="1BC4FB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4AB86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152A24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E8796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A45D89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514A8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63A3D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C6928" w14:paraId="39051D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D253C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BA5CF2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C63FC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E4C3F6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3EB9AA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58DFE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C6928" w14:paraId="18C4B64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A8A22" w14:textId="77777777" w:rsidR="005C6928" w:rsidRDefault="005C69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71FD2F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AF52D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C97FD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F9A2E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AA551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C6928" w14:paraId="2A2D6FA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238FB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A0D7F0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8FB77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3BFA7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C1EB7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34365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C6928" w14:paraId="4FB75DA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04995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B3A7A7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3994C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CB42D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E90BB3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2947E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C6928" w14:paraId="0EA1A70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97C27" w14:textId="77777777" w:rsidR="005C6928" w:rsidRDefault="005C69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4CB7B7" w14:textId="4956EFF3" w:rsidR="005C6928" w:rsidRDefault="00A009E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0C643" w14:textId="6D8AB54C" w:rsidR="005C6928" w:rsidRDefault="00A009E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32EFEE" w14:textId="15311BFE" w:rsidR="005C6928" w:rsidRDefault="00A009E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2B2D0B" w14:textId="180B9C91" w:rsidR="005C6928" w:rsidRDefault="00A009E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46.227,33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BBF96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009E1" w14:paraId="6803B0D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39444" w14:textId="77777777" w:rsidR="00A009E1" w:rsidRDefault="00A009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2BD669" w14:textId="22BAEB4D" w:rsidR="00A009E1" w:rsidRPr="00A009E1" w:rsidRDefault="00A009E1">
            <w:pPr>
              <w:keepNext/>
              <w:keepLines/>
              <w:spacing w:after="0" w:line="240" w:lineRule="auto"/>
              <w:rPr>
                <w:b/>
                <w:sz w:val="16"/>
                <w:szCs w:val="16"/>
              </w:rPr>
            </w:pPr>
            <w:r w:rsidRPr="00A009E1">
              <w:rPr>
                <w:b/>
                <w:sz w:val="16"/>
                <w:szCs w:val="16"/>
              </w:rPr>
              <w:t>VIŠAK PRIHODA I PRIMITAKA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D4E96" w14:textId="77777777" w:rsidR="00A009E1" w:rsidRDefault="00A009E1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4CC589" w14:textId="28E14F10" w:rsidR="00A009E1" w:rsidRDefault="00A009E1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6.230,16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2C19B" w14:textId="28DDB3BA" w:rsidR="00A009E1" w:rsidRDefault="00A009E1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6.394,01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A30EB" w14:textId="2FD9403B" w:rsidR="00A009E1" w:rsidRDefault="00A009E1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102,6</w:t>
            </w:r>
          </w:p>
        </w:tc>
      </w:tr>
      <w:tr w:rsidR="00A009E1" w14:paraId="369C62C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FA25F" w14:textId="77777777" w:rsidR="00A009E1" w:rsidRDefault="00A009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04D4C7" w14:textId="0187DA5E" w:rsidR="00A009E1" w:rsidRPr="00A009E1" w:rsidRDefault="00A009E1">
            <w:pPr>
              <w:keepNext/>
              <w:keepLines/>
              <w:spacing w:after="0" w:line="240" w:lineRule="auto"/>
              <w:rPr>
                <w:b/>
                <w:sz w:val="16"/>
                <w:szCs w:val="16"/>
              </w:rPr>
            </w:pPr>
            <w:r w:rsidRPr="00A009E1">
              <w:rPr>
                <w:b/>
                <w:sz w:val="16"/>
                <w:szCs w:val="16"/>
              </w:rPr>
              <w:t>VIŠAK PRIHODA I PRIMITAKA – RASPOLOŽIV U SLJEDEĆEM RAZDOBLJU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3ADF5" w14:textId="496B911B" w:rsidR="00A009E1" w:rsidRDefault="00A009E1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157DC6" w14:textId="5B3ADD6E" w:rsidR="00A009E1" w:rsidRPr="00A009E1" w:rsidRDefault="00A009E1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A009E1">
              <w:rPr>
                <w:b/>
                <w:sz w:val="18"/>
                <w:szCs w:val="18"/>
              </w:rPr>
              <w:t>6.394,01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86F2BD" w14:textId="4A69683F" w:rsidR="00A009E1" w:rsidRPr="00A009E1" w:rsidRDefault="00A009E1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A009E1">
              <w:rPr>
                <w:b/>
                <w:sz w:val="18"/>
                <w:szCs w:val="18"/>
              </w:rPr>
              <w:t>52.621,34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B2663" w14:textId="56FBDBBC" w:rsidR="00A009E1" w:rsidRPr="00A009E1" w:rsidRDefault="00A009E1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A009E1">
              <w:rPr>
                <w:b/>
                <w:sz w:val="18"/>
                <w:szCs w:val="18"/>
              </w:rPr>
              <w:t>823,0</w:t>
            </w:r>
          </w:p>
        </w:tc>
      </w:tr>
    </w:tbl>
    <w:p w14:paraId="6A9065BE" w14:textId="77777777" w:rsidR="005C6928" w:rsidRDefault="005C6928">
      <w:pPr>
        <w:spacing w:after="0"/>
      </w:pPr>
    </w:p>
    <w:p w14:paraId="409C1373" w14:textId="51E029EE" w:rsidR="005C6928" w:rsidRDefault="0090404C">
      <w:pPr>
        <w:spacing w:line="240" w:lineRule="auto"/>
        <w:jc w:val="both"/>
      </w:pPr>
      <w:r>
        <w:t>Ukupni prihodi Dječjeg vrtića Lepoglava ostvareni u razdoblju od 1. siječnja od 3</w:t>
      </w:r>
      <w:r w:rsidR="008A3F8D">
        <w:t>1</w:t>
      </w:r>
      <w:r>
        <w:t xml:space="preserve">. </w:t>
      </w:r>
      <w:r w:rsidR="008A3F8D">
        <w:t>prosinca</w:t>
      </w:r>
      <w:r>
        <w:t xml:space="preserve"> 2025. godine iznosili su </w:t>
      </w:r>
      <w:r w:rsidR="00A009E1">
        <w:t>1.177.349,65</w:t>
      </w:r>
      <w:r>
        <w:t xml:space="preserve"> €, odnosno </w:t>
      </w:r>
      <w:r w:rsidR="00A009E1">
        <w:t>33</w:t>
      </w:r>
      <w:r>
        <w:t>,</w:t>
      </w:r>
      <w:r w:rsidR="00A009E1">
        <w:t>4</w:t>
      </w:r>
      <w:r>
        <w:t xml:space="preserve">% ili </w:t>
      </w:r>
      <w:r w:rsidR="00A009E1">
        <w:t>295.045,93</w:t>
      </w:r>
      <w:r>
        <w:t xml:space="preserve"> € više nego prethodne 2024. godine. Na rast prihoda u promatranom razdoblju najvećim je dijelom utjecalo povećanje prihoda iz nadležnog proračuna za financiranje redovne djelatnosti i povećanje prihoda od pomoći proračunu i izvanproračunskim korisnicima iz drugih proračuna.</w:t>
      </w:r>
      <w:r w:rsidR="00A009E1">
        <w:t xml:space="preserve"> </w:t>
      </w:r>
      <w:r>
        <w:t xml:space="preserve">Ukupni rashodi su </w:t>
      </w:r>
      <w:r w:rsidRPr="00A009E1">
        <w:lastRenderedPageBreak/>
        <w:t xml:space="preserve">iznosili </w:t>
      </w:r>
      <w:r w:rsidR="00A009E1" w:rsidRPr="00A009E1">
        <w:t>1.128.622,32</w:t>
      </w:r>
      <w:r w:rsidRPr="00A009E1">
        <w:t xml:space="preserve"> €</w:t>
      </w:r>
      <w:r>
        <w:t xml:space="preserve"> što je </w:t>
      </w:r>
      <w:r w:rsidR="004E73B9">
        <w:t xml:space="preserve">za </w:t>
      </w:r>
      <w:r w:rsidR="00A009E1">
        <w:t>27</w:t>
      </w:r>
      <w:r>
        <w:t>,9% ili 2</w:t>
      </w:r>
      <w:r w:rsidR="004E73B9">
        <w:t>46.482,45</w:t>
      </w:r>
      <w:r>
        <w:t xml:space="preserve"> € više rashoda nego prošle godine. Rashodi poslovanja su rasli, a na to su utjecali povećanje rashoda za plaće zaposlenika, ostalih rashoda za zaposlene, doprinosa na plaće, rashoda za materijal i energiju te rashoda za usluge, dok su rashodi za nabavu nefinancijske imovine ostvareni u iznosu od 2.500,00 € te nisu zabilježeni 2024. godine, što dovodi do uvećanja ukupnih rashoda u promatranom razdoblju</w:t>
      </w:r>
      <w:r w:rsidR="006438B9">
        <w:t xml:space="preserve"> i do ostvarenog manjka od nefinancijske imovine u iznosu 2.500,00€. Nakon provedene zakonske korekcije rezultata poslovanja o</w:t>
      </w:r>
      <w:r>
        <w:t xml:space="preserve">stvaren je </w:t>
      </w:r>
      <w:r w:rsidR="004E73B9">
        <w:t>višak</w:t>
      </w:r>
      <w:r>
        <w:t xml:space="preserve"> prihoda u iznosu od 4</w:t>
      </w:r>
      <w:r w:rsidR="004E73B9">
        <w:t>6</w:t>
      </w:r>
      <w:r>
        <w:t>.</w:t>
      </w:r>
      <w:r w:rsidR="004E73B9">
        <w:t>227</w:t>
      </w:r>
      <w:r>
        <w:t>,</w:t>
      </w:r>
      <w:r w:rsidR="004E73B9">
        <w:t>3</w:t>
      </w:r>
      <w:r>
        <w:t xml:space="preserve">3 €. </w:t>
      </w:r>
      <w:r w:rsidR="006438B9">
        <w:t>Preneseni v</w:t>
      </w:r>
      <w:r>
        <w:t xml:space="preserve">išak prihoda iz prethodnog razdoblja iznosi 6.394,01 €, tako da se u sljedeće razdoblje prenosi </w:t>
      </w:r>
      <w:r w:rsidR="004E73B9">
        <w:t>višak</w:t>
      </w:r>
      <w:r>
        <w:t xml:space="preserve"> u iznosu od </w:t>
      </w:r>
      <w:r w:rsidR="004E73B9">
        <w:t>52.621,34</w:t>
      </w:r>
      <w:r>
        <w:t xml:space="preserve"> €.</w:t>
      </w:r>
    </w:p>
    <w:p w14:paraId="0B46C7A8" w14:textId="2F6AEA6F" w:rsidR="005C6928" w:rsidRDefault="0090404C" w:rsidP="00F92063">
      <w:pPr>
        <w:ind w:left="3540"/>
      </w:pPr>
      <w:r>
        <w:br/>
      </w:r>
      <w:r w:rsidR="00F92063">
        <w:rPr>
          <w:sz w:val="28"/>
        </w:rPr>
        <w:t xml:space="preserve">  </w:t>
      </w: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446C927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62118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05DE0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E3124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018F4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A318B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B605D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3F8D" w14:paraId="5546BE4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BF8C3" w14:textId="77777777" w:rsidR="008A3F8D" w:rsidRDefault="008A3F8D" w:rsidP="008A3F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C30B48" w14:textId="77777777" w:rsidR="008A3F8D" w:rsidRDefault="008A3F8D" w:rsidP="008A3F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4BD12" w14:textId="77777777" w:rsidR="008A3F8D" w:rsidRDefault="008A3F8D" w:rsidP="008A3F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26354E" w14:textId="389910FB" w:rsidR="008A3F8D" w:rsidRDefault="008A3F8D" w:rsidP="008A3F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882.303,72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D7BC0B" w14:textId="01BD34F7" w:rsidR="008A3F8D" w:rsidRPr="008A3F8D" w:rsidRDefault="008A3F8D" w:rsidP="008A3F8D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8A3F8D">
              <w:rPr>
                <w:sz w:val="18"/>
                <w:szCs w:val="18"/>
              </w:rPr>
              <w:t>1.177.349,65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5A925" w14:textId="53A50478" w:rsidR="008A3F8D" w:rsidRDefault="004E73B9" w:rsidP="008A3F8D">
            <w:pPr>
              <w:keepNext/>
              <w:keepLines/>
              <w:spacing w:after="0" w:line="240" w:lineRule="auto"/>
              <w:jc w:val="right"/>
            </w:pPr>
            <w:r w:rsidRPr="00F642E7">
              <w:rPr>
                <w:sz w:val="18"/>
                <w:szCs w:val="18"/>
              </w:rPr>
              <w:t>133,4</w:t>
            </w:r>
          </w:p>
        </w:tc>
      </w:tr>
    </w:tbl>
    <w:p w14:paraId="15FF1286" w14:textId="77777777" w:rsidR="005C6928" w:rsidRDefault="005C6928">
      <w:pPr>
        <w:spacing w:after="0"/>
      </w:pPr>
    </w:p>
    <w:p w14:paraId="757658E5" w14:textId="45AEA255" w:rsidR="005C6928" w:rsidRDefault="0090404C">
      <w:pPr>
        <w:spacing w:line="240" w:lineRule="auto"/>
        <w:jc w:val="both"/>
      </w:pPr>
      <w:r>
        <w:t>Prihodi poslovanja Dječjeg vrtića Lepoglava ostvareni u razdoblju od 1. siječnja od 3</w:t>
      </w:r>
      <w:r w:rsidR="004E73B9">
        <w:t>1</w:t>
      </w:r>
      <w:r>
        <w:t xml:space="preserve">. </w:t>
      </w:r>
      <w:r w:rsidR="004E73B9">
        <w:t>prosinca</w:t>
      </w:r>
      <w:r>
        <w:t xml:space="preserve"> 2025. godine iznosili su </w:t>
      </w:r>
      <w:r w:rsidR="004E73B9" w:rsidRPr="004E73B9">
        <w:t>1.177.349,65</w:t>
      </w:r>
      <w:r w:rsidR="004E73B9">
        <w:rPr>
          <w:sz w:val="18"/>
          <w:szCs w:val="18"/>
        </w:rPr>
        <w:t xml:space="preserve"> </w:t>
      </w:r>
      <w:r>
        <w:t xml:space="preserve">€, odnosno </w:t>
      </w:r>
      <w:r w:rsidR="004E73B9">
        <w:t>3</w:t>
      </w:r>
      <w:r>
        <w:t>3,</w:t>
      </w:r>
      <w:r w:rsidR="004E73B9">
        <w:t>4</w:t>
      </w:r>
      <w:r>
        <w:t>% više nego prethodne 2024. godine. Na rast prihoda poslovanja u promatranom razdoblju najvećim je dijelom utjecalo povećanje prihoda iz nadležnog proračuna za financiranje redovne djelatnosti, a u manjem dijelu povećanje prihoda od uplata korisnika i prihoda od pruženih usluga.</w:t>
      </w:r>
    </w:p>
    <w:p w14:paraId="583D4E90" w14:textId="77777777" w:rsidR="005C6928" w:rsidRDefault="005C6928"/>
    <w:p w14:paraId="42FBD071" w14:textId="77777777" w:rsidR="005C6928" w:rsidRDefault="0090404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60F07EE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848A1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73091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EE99D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51C0E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20DD7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9D942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6928" w14:paraId="6E310A0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09001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E1190F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B0BC0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4E7A2D" w14:textId="6E2C88FF" w:rsidR="005C6928" w:rsidRPr="008A3F8D" w:rsidRDefault="008A3F8D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8A3F8D">
              <w:rPr>
                <w:sz w:val="18"/>
                <w:szCs w:val="18"/>
              </w:rPr>
              <w:t>1.923,00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1D761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08593" w14:textId="76244BB9" w:rsidR="005C6928" w:rsidRPr="005C2937" w:rsidRDefault="005C2937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5C2937">
              <w:rPr>
                <w:sz w:val="18"/>
                <w:szCs w:val="18"/>
              </w:rPr>
              <w:t>58,</w:t>
            </w:r>
            <w:r>
              <w:rPr>
                <w:sz w:val="18"/>
                <w:szCs w:val="18"/>
              </w:rPr>
              <w:t>6</w:t>
            </w:r>
          </w:p>
        </w:tc>
      </w:tr>
    </w:tbl>
    <w:p w14:paraId="6A59ABA4" w14:textId="77777777" w:rsidR="005C6928" w:rsidRDefault="005C6928">
      <w:pPr>
        <w:spacing w:after="0"/>
      </w:pPr>
    </w:p>
    <w:p w14:paraId="0D1AA659" w14:textId="47CF452F" w:rsidR="005C6928" w:rsidRDefault="0090404C">
      <w:pPr>
        <w:spacing w:line="240" w:lineRule="auto"/>
        <w:jc w:val="both"/>
      </w:pPr>
      <w:r>
        <w:t>Prihodi od Pomoći proračunu i izvanproračunskim korisnicima iz drugih proračuna u razdoblju od 1. siječnja do 3</w:t>
      </w:r>
      <w:r w:rsidR="004E73B9">
        <w:t>1</w:t>
      </w:r>
      <w:r>
        <w:t xml:space="preserve">. </w:t>
      </w:r>
      <w:r w:rsidR="004E73B9">
        <w:t>prosinca</w:t>
      </w:r>
      <w:r>
        <w:t xml:space="preserve"> 2025. godine ostvareni su u iznosu od 1.126,00 €, odnosno </w:t>
      </w:r>
      <w:r w:rsidR="005C2937">
        <w:t xml:space="preserve">41,4 </w:t>
      </w:r>
      <w:r>
        <w:t xml:space="preserve">% ili </w:t>
      </w:r>
      <w:r w:rsidR="005C2937">
        <w:t>797</w:t>
      </w:r>
      <w:r>
        <w:t xml:space="preserve">,00 € </w:t>
      </w:r>
      <w:r w:rsidR="005C2937">
        <w:t>manje</w:t>
      </w:r>
      <w:r>
        <w:t xml:space="preserve"> u odnosu na iste prihode ostvarene u promatranom razdoblju 2024. godine. Prihodi se odnose na obvezni program pred škole.</w:t>
      </w:r>
    </w:p>
    <w:p w14:paraId="526C49CC" w14:textId="77777777" w:rsidR="005C6928" w:rsidRDefault="005C6928"/>
    <w:p w14:paraId="1F57EA0F" w14:textId="77777777" w:rsidR="005C6928" w:rsidRDefault="0090404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68A6334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AF7DA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314BA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EF5B0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46424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26EA6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BD1A3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6928" w14:paraId="4E76FF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B100D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739EF7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60DD9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3F945" w14:textId="77777777" w:rsidR="002B0194" w:rsidRPr="002B0194" w:rsidRDefault="002B0194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77F82180" w14:textId="138EB0A0" w:rsidR="005C6928" w:rsidRPr="002B0194" w:rsidRDefault="002B0194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2B0194">
              <w:rPr>
                <w:sz w:val="18"/>
                <w:szCs w:val="18"/>
              </w:rPr>
              <w:t>157.873,40</w:t>
            </w:r>
          </w:p>
          <w:p w14:paraId="056E0672" w14:textId="6E67B630" w:rsidR="002B0194" w:rsidRPr="002B0194" w:rsidRDefault="002B0194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F9E7E7" w14:textId="74199393" w:rsidR="005C6928" w:rsidRPr="002B0194" w:rsidRDefault="009B1A5C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2B0194">
              <w:rPr>
                <w:sz w:val="18"/>
                <w:szCs w:val="18"/>
              </w:rPr>
              <w:t>168.361,12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2745D" w14:textId="4DAD11FD" w:rsidR="005C6928" w:rsidRPr="002B0194" w:rsidRDefault="002B0194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2B0194">
              <w:rPr>
                <w:sz w:val="18"/>
                <w:szCs w:val="18"/>
              </w:rPr>
              <w:t>106,6</w:t>
            </w:r>
          </w:p>
        </w:tc>
      </w:tr>
    </w:tbl>
    <w:p w14:paraId="463E8580" w14:textId="77777777" w:rsidR="005C6928" w:rsidRDefault="005C6928">
      <w:pPr>
        <w:spacing w:after="0"/>
      </w:pPr>
    </w:p>
    <w:p w14:paraId="6794590A" w14:textId="4F7817EB" w:rsidR="005C6928" w:rsidRDefault="0090404C">
      <w:pPr>
        <w:spacing w:line="240" w:lineRule="auto"/>
        <w:jc w:val="both"/>
      </w:pPr>
      <w:r>
        <w:t>Prihodi po posebnim propisima u razdoblju od 1. siječnja do 3</w:t>
      </w:r>
      <w:r w:rsidR="009B1A5C">
        <w:t>1</w:t>
      </w:r>
      <w:r>
        <w:t xml:space="preserve">. </w:t>
      </w:r>
      <w:r w:rsidR="009B1A5C">
        <w:t>prosinca</w:t>
      </w:r>
      <w:r>
        <w:t xml:space="preserve"> 2025.</w:t>
      </w:r>
      <w:r w:rsidR="009B1A5C">
        <w:t xml:space="preserve"> </w:t>
      </w:r>
      <w:r>
        <w:t>godine ostvareni su u iznosu od 1</w:t>
      </w:r>
      <w:r w:rsidR="009B1A5C">
        <w:t>68.361,12</w:t>
      </w:r>
      <w:r>
        <w:t xml:space="preserve"> €, odnosno </w:t>
      </w:r>
      <w:r w:rsidR="002B0194">
        <w:t>6,6</w:t>
      </w:r>
      <w:r>
        <w:t xml:space="preserve">% ili </w:t>
      </w:r>
      <w:r w:rsidR="009B1A5C">
        <w:t>1</w:t>
      </w:r>
      <w:r w:rsidR="002B0194">
        <w:t>0.487,72</w:t>
      </w:r>
      <w:r>
        <w:t xml:space="preserve"> € više u odnosu na iste </w:t>
      </w:r>
      <w:r>
        <w:lastRenderedPageBreak/>
        <w:t>prihode ostvarene u promatranom razdoblju 2024. godine. Na rast prihoda utjecalo je uvećanje ostalih nespomenutih prihoda, odnosno uplata korisnika.</w:t>
      </w:r>
    </w:p>
    <w:p w14:paraId="4128B0CB" w14:textId="77777777" w:rsidR="005C6928" w:rsidRDefault="005C6928"/>
    <w:p w14:paraId="5113459E" w14:textId="77777777" w:rsidR="005C6928" w:rsidRDefault="0090404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04C841A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2B17C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FE240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782FF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950FF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510BD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01526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6928" w14:paraId="57DCA49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A637B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171CAF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4257C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F03ED" w14:textId="345B840E" w:rsidR="005C6928" w:rsidRPr="008A3F8D" w:rsidRDefault="008A3F8D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8A3F8D">
              <w:rPr>
                <w:sz w:val="18"/>
                <w:szCs w:val="18"/>
              </w:rPr>
              <w:t>2.417,33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167AEE" w14:textId="375B127A" w:rsidR="005C6928" w:rsidRPr="008A3F8D" w:rsidRDefault="008A3F8D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8A3F8D">
              <w:rPr>
                <w:sz w:val="18"/>
                <w:szCs w:val="18"/>
              </w:rPr>
              <w:t>4.398,09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6E283" w14:textId="4DC87C4E" w:rsidR="005C6928" w:rsidRDefault="008A3F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181,9</w:t>
            </w:r>
          </w:p>
        </w:tc>
      </w:tr>
    </w:tbl>
    <w:p w14:paraId="46A21482" w14:textId="77777777" w:rsidR="005C6928" w:rsidRDefault="005C6928">
      <w:pPr>
        <w:spacing w:after="0"/>
      </w:pPr>
    </w:p>
    <w:p w14:paraId="52F9A427" w14:textId="5193BBD5" w:rsidR="005C6928" w:rsidRDefault="0090404C">
      <w:pPr>
        <w:spacing w:line="240" w:lineRule="auto"/>
        <w:jc w:val="both"/>
      </w:pPr>
      <w:r>
        <w:t>Prihodi od prodaje proizvoda i robe te pruženih usluga u razdoblju od 1. siječnja do 3</w:t>
      </w:r>
      <w:r w:rsidR="009B1A5C">
        <w:t>1</w:t>
      </w:r>
      <w:r>
        <w:t xml:space="preserve">. </w:t>
      </w:r>
      <w:r w:rsidR="009B1A5C">
        <w:t>prosinca</w:t>
      </w:r>
      <w:r>
        <w:t xml:space="preserve"> 2025. godine ostvareni su u iznosu od </w:t>
      </w:r>
      <w:r w:rsidR="009B1A5C">
        <w:t>4.398,09</w:t>
      </w:r>
      <w:r>
        <w:t xml:space="preserve"> €, odnosno </w:t>
      </w:r>
      <w:r w:rsidR="009B1A5C">
        <w:t>181,9</w:t>
      </w:r>
      <w:r>
        <w:t xml:space="preserve">% ili </w:t>
      </w:r>
      <w:r w:rsidR="009B1A5C">
        <w:t>1.980,76</w:t>
      </w:r>
      <w:r>
        <w:t xml:space="preserve"> € više u odnosu na iste prihode ostvarene u promatranom razdoblju 2024. godine. Na rast prihoda od prodaje proizvoda i robe te pruženih usluga utjecalo je uvećanje prihoda od pruženih usluga.</w:t>
      </w:r>
    </w:p>
    <w:p w14:paraId="4E1B5FB5" w14:textId="77777777" w:rsidR="005C6928" w:rsidRDefault="005C6928"/>
    <w:p w14:paraId="0B33800B" w14:textId="77777777" w:rsidR="005C6928" w:rsidRDefault="0090404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496D605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3DEF1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C9F30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3D3E6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4E1C4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5F36B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83A33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6928" w14:paraId="7BF3478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5AAB9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4328C3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FAB78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E1B9EB" w14:textId="6B6FFFA0" w:rsidR="005C6928" w:rsidRPr="009B1A5C" w:rsidRDefault="00582823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9B1A5C">
              <w:rPr>
                <w:sz w:val="18"/>
                <w:szCs w:val="18"/>
              </w:rPr>
              <w:t>720.089,99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61D01" w14:textId="7038CE9B" w:rsidR="005C6928" w:rsidRPr="009B1A5C" w:rsidRDefault="00582823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9B1A5C">
              <w:rPr>
                <w:sz w:val="18"/>
                <w:szCs w:val="18"/>
              </w:rPr>
              <w:t>1.003.464,44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369EC" w14:textId="0EB7ECB3" w:rsidR="005C6928" w:rsidRPr="009B1A5C" w:rsidRDefault="009B1A5C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9B1A5C">
              <w:rPr>
                <w:sz w:val="18"/>
                <w:szCs w:val="18"/>
              </w:rPr>
              <w:t>139,4</w:t>
            </w:r>
          </w:p>
        </w:tc>
      </w:tr>
    </w:tbl>
    <w:p w14:paraId="3F0CF95A" w14:textId="77777777" w:rsidR="005C6928" w:rsidRDefault="005C6928">
      <w:pPr>
        <w:spacing w:after="0"/>
      </w:pPr>
    </w:p>
    <w:p w14:paraId="6FC6BCFF" w14:textId="1CF6834C" w:rsidR="005C6928" w:rsidRDefault="0090404C">
      <w:pPr>
        <w:spacing w:line="240" w:lineRule="auto"/>
        <w:jc w:val="both"/>
      </w:pPr>
      <w:r>
        <w:t>Prihodi iz nadležnog proračuna za financiranje redovne djelatnosti proračunskih korisnika u razdoblju od 1. siječnja do 3</w:t>
      </w:r>
      <w:r w:rsidR="009B1A5C">
        <w:t>1</w:t>
      </w:r>
      <w:r>
        <w:t xml:space="preserve">. </w:t>
      </w:r>
      <w:r w:rsidR="009B1A5C">
        <w:t>prosinca</w:t>
      </w:r>
      <w:r>
        <w:t xml:space="preserve"> 2025. godine ostvareni su u iznosu od </w:t>
      </w:r>
      <w:r w:rsidR="009B1A5C" w:rsidRPr="009B5A83">
        <w:t>1.003.464,44</w:t>
      </w:r>
      <w:r w:rsidR="009B1A5C">
        <w:rPr>
          <w:sz w:val="18"/>
          <w:szCs w:val="18"/>
        </w:rPr>
        <w:t xml:space="preserve"> </w:t>
      </w:r>
      <w:r>
        <w:t xml:space="preserve">€, odnosno </w:t>
      </w:r>
      <w:r w:rsidR="009B1A5C">
        <w:t>39,4</w:t>
      </w:r>
      <w:r>
        <w:t xml:space="preserve">% ili </w:t>
      </w:r>
      <w:r w:rsidR="009B5A83">
        <w:t>283.374,45</w:t>
      </w:r>
      <w:r>
        <w:t xml:space="preserve"> € više u odnosu na iste prihode ostvarene u promatranom razdoblju 2024. godine. Na rast prihoda iz nadležnog proračuna za financiranje redovne djelatnosti proračunskih korisnika utjecalo je uvećanje prihoda iz nadležnog proračuna, odnosno Grada Lepoglave za financiranje rashoda poslovanja.</w:t>
      </w:r>
    </w:p>
    <w:p w14:paraId="364D7188" w14:textId="77777777" w:rsidR="005C6928" w:rsidRDefault="005C6928"/>
    <w:p w14:paraId="540941A7" w14:textId="77777777" w:rsidR="005C6928" w:rsidRDefault="0090404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799F489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875F1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162F5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E4AFE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FB1AA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F93DC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8353E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6928" w14:paraId="17B52BB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0A41E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94F608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F505F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AB2096" w14:textId="69951BC1" w:rsidR="005C6928" w:rsidRDefault="009B5A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882.139,87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DC653" w14:textId="4FDEC0CF" w:rsidR="005C6928" w:rsidRDefault="009B5A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1.128.622,32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E41F5" w14:textId="094F91B0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</w:t>
            </w:r>
            <w:r w:rsidR="009B5A83">
              <w:rPr>
                <w:sz w:val="18"/>
              </w:rPr>
              <w:t>27,9</w:t>
            </w:r>
          </w:p>
        </w:tc>
      </w:tr>
    </w:tbl>
    <w:p w14:paraId="1C5C0CC4" w14:textId="77777777" w:rsidR="005C6928" w:rsidRDefault="005C6928">
      <w:pPr>
        <w:spacing w:after="0"/>
      </w:pPr>
    </w:p>
    <w:p w14:paraId="12626E88" w14:textId="79674B77" w:rsidR="005C6928" w:rsidRDefault="0090404C">
      <w:pPr>
        <w:spacing w:line="240" w:lineRule="auto"/>
        <w:jc w:val="both"/>
      </w:pPr>
      <w:r>
        <w:t xml:space="preserve">Rashodi poslovanja Dječjeg vrtića Lepoglava u razdoblju od 1. siječnja </w:t>
      </w:r>
      <w:r w:rsidR="009B5A83">
        <w:t>do</w:t>
      </w:r>
      <w:r>
        <w:t xml:space="preserve"> 3</w:t>
      </w:r>
      <w:r w:rsidR="009B5A83">
        <w:t>1</w:t>
      </w:r>
      <w:r>
        <w:t xml:space="preserve">. </w:t>
      </w:r>
      <w:r w:rsidR="009B5A83">
        <w:t>prosinca</w:t>
      </w:r>
      <w:r>
        <w:t xml:space="preserve"> 2025. godine ostvareni su u iznosu od </w:t>
      </w:r>
      <w:r w:rsidR="009B5A83" w:rsidRPr="009B5A83">
        <w:t>1.128.622,32</w:t>
      </w:r>
      <w:r w:rsidR="009B5A83">
        <w:rPr>
          <w:sz w:val="18"/>
        </w:rPr>
        <w:t xml:space="preserve"> </w:t>
      </w:r>
      <w:r>
        <w:t xml:space="preserve">€, odnosno </w:t>
      </w:r>
      <w:r w:rsidR="009B5A83">
        <w:t>27,9</w:t>
      </w:r>
      <w:r>
        <w:t>% ili 2</w:t>
      </w:r>
      <w:r w:rsidR="009B5A83">
        <w:t>46.482,45</w:t>
      </w:r>
      <w:r>
        <w:t xml:space="preserve"> € više nego prethodne 2024. godine. Na rast rashoda poslovanja utjecali </w:t>
      </w:r>
      <w:r w:rsidR="00575D50">
        <w:t xml:space="preserve">su </w:t>
      </w:r>
      <w:r>
        <w:t>povećanje rashoda za plaće zaposlenika, ostalih rashoda za zaposlene, doprinosa na plaće, rashoda za materijal i energiju te rashoda za usluge.</w:t>
      </w:r>
    </w:p>
    <w:p w14:paraId="0E1915B7" w14:textId="77777777" w:rsidR="005C6928" w:rsidRDefault="0090404C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5E3B665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2B497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6FE04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BAE5B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C96CD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203BA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5CB76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6928" w14:paraId="23792F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26789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DAA845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62D11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ABC263" w14:textId="6F3046E2" w:rsidR="005C6928" w:rsidRDefault="009B5A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583.498,07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4D284F" w14:textId="294DE8F4" w:rsidR="005C6928" w:rsidRDefault="009B5A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775.985,62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01819" w14:textId="0F52290A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</w:t>
            </w:r>
            <w:r w:rsidR="009B5A83">
              <w:rPr>
                <w:sz w:val="18"/>
              </w:rPr>
              <w:t>3</w:t>
            </w:r>
            <w:r>
              <w:rPr>
                <w:sz w:val="18"/>
              </w:rPr>
              <w:t>,</w:t>
            </w:r>
            <w:r w:rsidR="009B5A83">
              <w:rPr>
                <w:sz w:val="18"/>
              </w:rPr>
              <w:t>0</w:t>
            </w:r>
          </w:p>
        </w:tc>
      </w:tr>
    </w:tbl>
    <w:p w14:paraId="7B2BC6F4" w14:textId="77777777" w:rsidR="005C6928" w:rsidRDefault="005C6928">
      <w:pPr>
        <w:spacing w:after="0"/>
      </w:pPr>
    </w:p>
    <w:p w14:paraId="597C65AA" w14:textId="28E77888" w:rsidR="005C6928" w:rsidRDefault="0090404C">
      <w:pPr>
        <w:spacing w:line="240" w:lineRule="auto"/>
        <w:jc w:val="both"/>
      </w:pPr>
      <w:r>
        <w:t>Rashodi za plaće zaposlenika u razdoblju od 1. siječnja do 3</w:t>
      </w:r>
      <w:r w:rsidR="009B5A83">
        <w:t>1</w:t>
      </w:r>
      <w:r>
        <w:t xml:space="preserve">. </w:t>
      </w:r>
      <w:r w:rsidR="009B5A83">
        <w:t>prosinca</w:t>
      </w:r>
      <w:r>
        <w:t xml:space="preserve"> 2025. godine ostvareni su u iznosu od </w:t>
      </w:r>
      <w:r w:rsidR="009B5A83" w:rsidRPr="009B5A83">
        <w:t>775.985,62</w:t>
      </w:r>
      <w:r w:rsidR="009B5A83">
        <w:rPr>
          <w:sz w:val="18"/>
        </w:rPr>
        <w:t xml:space="preserve"> </w:t>
      </w:r>
      <w:r>
        <w:t>€, odnosno 3</w:t>
      </w:r>
      <w:r w:rsidR="009B5A83">
        <w:t>3</w:t>
      </w:r>
      <w:r>
        <w:t>,</w:t>
      </w:r>
      <w:r w:rsidR="009B5A83">
        <w:t>0</w:t>
      </w:r>
      <w:r>
        <w:t>% ili 1</w:t>
      </w:r>
      <w:r w:rsidR="009B5A83">
        <w:t>92.487,55</w:t>
      </w:r>
      <w:r>
        <w:t xml:space="preserve"> € više u odnosu na rashode za plaće ostvarene u istom razdoblju 2024. godine. Na rast u promatranom razdoblju najvećim je dijelom utjecalo uvećanje rashoda za plaće za redovan rad, odnosno povećanje osnovice za izračun plaće</w:t>
      </w:r>
      <w:r w:rsidR="009B5A83">
        <w:t xml:space="preserve"> te rast broja zaposlenih.</w:t>
      </w:r>
    </w:p>
    <w:p w14:paraId="145521AC" w14:textId="77777777" w:rsidR="005C6928" w:rsidRDefault="005C6928"/>
    <w:p w14:paraId="20F98114" w14:textId="77777777" w:rsidR="005C6928" w:rsidRDefault="0090404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00610A3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99B95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26944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D09C8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CFA59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D071F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6DB1F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6928" w14:paraId="45B2C26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153D8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8A4EF9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495F3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F96FE7" w14:textId="775D4547" w:rsidR="005C6928" w:rsidRDefault="009B5A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39.158,88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46EEF3" w14:textId="29BFBFDF" w:rsidR="005C6928" w:rsidRDefault="009B5A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44.354,61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9A7B0" w14:textId="5DC93496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</w:t>
            </w:r>
            <w:r w:rsidR="009B5A83">
              <w:rPr>
                <w:sz w:val="18"/>
              </w:rPr>
              <w:t>13,3</w:t>
            </w:r>
          </w:p>
        </w:tc>
      </w:tr>
    </w:tbl>
    <w:p w14:paraId="75D81353" w14:textId="77777777" w:rsidR="005C6928" w:rsidRDefault="005C6928">
      <w:pPr>
        <w:spacing w:after="0"/>
      </w:pPr>
    </w:p>
    <w:p w14:paraId="7D6A3C4D" w14:textId="2A3E3507" w:rsidR="005C6928" w:rsidRDefault="0090404C">
      <w:pPr>
        <w:spacing w:line="240" w:lineRule="auto"/>
        <w:jc w:val="both"/>
      </w:pPr>
      <w:r>
        <w:t>Ostali rashodi za zaposlene u razdoblju od 1. siječnja do 3</w:t>
      </w:r>
      <w:r w:rsidR="009B5A83">
        <w:t>1</w:t>
      </w:r>
      <w:r>
        <w:t xml:space="preserve">. </w:t>
      </w:r>
      <w:r w:rsidR="009B5A83">
        <w:t>prosinca</w:t>
      </w:r>
      <w:r>
        <w:t xml:space="preserve"> 2025. godine ostvareni su u iznosu od </w:t>
      </w:r>
      <w:r w:rsidR="00571DDE" w:rsidRPr="00571DDE">
        <w:t>44.354,61</w:t>
      </w:r>
      <w:r w:rsidR="00571DDE">
        <w:rPr>
          <w:sz w:val="18"/>
        </w:rPr>
        <w:t xml:space="preserve"> </w:t>
      </w:r>
      <w:r>
        <w:t xml:space="preserve">€, odnosno </w:t>
      </w:r>
      <w:r w:rsidR="00571DDE">
        <w:t>13</w:t>
      </w:r>
      <w:r>
        <w:t>,</w:t>
      </w:r>
      <w:r w:rsidR="00571DDE">
        <w:t>3</w:t>
      </w:r>
      <w:r>
        <w:t xml:space="preserve">% ili </w:t>
      </w:r>
      <w:r w:rsidR="00571DDE">
        <w:t>5.195,73</w:t>
      </w:r>
      <w:r>
        <w:t xml:space="preserve"> € više u odnosu na ostale rashode za zaposlene ostvarene u istom razdoblju 2024. godine. Na rast u promatranom razdoblju je utjecalo uvećanje navedenih rashoda za zaposlene koji uključuju regres za godišnji odmor, naknade za bolest, invalidnost i smrtni slučaj, nagrade i bonusi za uspješan rad</w:t>
      </w:r>
      <w:r w:rsidR="0032795B">
        <w:t xml:space="preserve"> (uslijed povećanja broja zaposlenih).</w:t>
      </w:r>
    </w:p>
    <w:p w14:paraId="6F985E90" w14:textId="77777777" w:rsidR="005C6928" w:rsidRDefault="005C6928"/>
    <w:p w14:paraId="4370BF9C" w14:textId="77777777" w:rsidR="005C6928" w:rsidRDefault="0090404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7CFCE52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3A2E8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D72F4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FB7DB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D35C2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42E38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DCC8B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6928" w14:paraId="0CA1C35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0289E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52FD40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A87DF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CB4729" w14:textId="0C219C34" w:rsidR="005C6928" w:rsidRDefault="003279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93.765,9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75BEDE" w14:textId="3C87E3F5" w:rsidR="005C6928" w:rsidRDefault="003279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113.282,59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835B8" w14:textId="1BB5E446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</w:t>
            </w:r>
            <w:r w:rsidR="0032795B">
              <w:rPr>
                <w:sz w:val="18"/>
              </w:rPr>
              <w:t>20,8</w:t>
            </w:r>
          </w:p>
        </w:tc>
      </w:tr>
    </w:tbl>
    <w:p w14:paraId="34CF9EDF" w14:textId="77777777" w:rsidR="005C6928" w:rsidRDefault="005C6928">
      <w:pPr>
        <w:spacing w:after="0"/>
      </w:pPr>
    </w:p>
    <w:p w14:paraId="1C0EA8AE" w14:textId="39320F2F" w:rsidR="005C6928" w:rsidRDefault="0090404C">
      <w:pPr>
        <w:spacing w:line="240" w:lineRule="auto"/>
        <w:jc w:val="both"/>
      </w:pPr>
      <w:r>
        <w:t xml:space="preserve">Doprinosi na plaće u razdoblju od 1. siječnja do </w:t>
      </w:r>
      <w:r w:rsidR="0032795B">
        <w:t xml:space="preserve">31. prosinca </w:t>
      </w:r>
      <w:r>
        <w:t xml:space="preserve">2025. godine ostvareni su u iznosu od </w:t>
      </w:r>
      <w:r w:rsidR="0032795B" w:rsidRPr="0032795B">
        <w:t>113.282,59</w:t>
      </w:r>
      <w:r w:rsidR="0032795B">
        <w:rPr>
          <w:sz w:val="18"/>
        </w:rPr>
        <w:t xml:space="preserve"> </w:t>
      </w:r>
      <w:r>
        <w:t xml:space="preserve">€, odnosno </w:t>
      </w:r>
      <w:r w:rsidR="0032795B">
        <w:t>20,8</w:t>
      </w:r>
      <w:r>
        <w:t xml:space="preserve">% ili </w:t>
      </w:r>
      <w:r w:rsidR="0032795B">
        <w:t>19.516,69</w:t>
      </w:r>
      <w:r>
        <w:t xml:space="preserve"> € više u odnosu na doprinose ostvarene u istom razdoblju 2024. godine. Na rast u promatranom razdoblju je utjecalo uvećanje doprinosa za obvezno zdravstveno osiguranje</w:t>
      </w:r>
      <w:r w:rsidR="0032795B">
        <w:t xml:space="preserve"> zbog povećanja broja zaposlenih.</w:t>
      </w:r>
    </w:p>
    <w:p w14:paraId="7969E29D" w14:textId="77777777" w:rsidR="005C6928" w:rsidRDefault="005C6928"/>
    <w:p w14:paraId="6E27A535" w14:textId="77777777" w:rsidR="005C6928" w:rsidRDefault="0090404C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489B787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9CBFB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31B0C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18469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193F3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5A906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1F331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6928" w14:paraId="4F64F5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A3D83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C685DB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A1666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A1A00" w14:textId="154BD21E" w:rsidR="005C6928" w:rsidRDefault="001E2B2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23.098,74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44EC3" w14:textId="509116F2" w:rsidR="005C6928" w:rsidRDefault="001E2B2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27.304,33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E63BC" w14:textId="1D2EF71F" w:rsidR="005C6928" w:rsidRDefault="001E2B2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14:paraId="6F27E6B4" w14:textId="77777777" w:rsidR="005C6928" w:rsidRDefault="005C6928">
      <w:pPr>
        <w:spacing w:after="0"/>
      </w:pPr>
    </w:p>
    <w:p w14:paraId="68CA899D" w14:textId="651AA005" w:rsidR="005C6928" w:rsidRDefault="0090404C">
      <w:pPr>
        <w:spacing w:line="240" w:lineRule="auto"/>
        <w:jc w:val="both"/>
      </w:pPr>
      <w:r>
        <w:t xml:space="preserve">Rashodi za naknade troškova zaposlenima u razdoblju od 1. siječnja do </w:t>
      </w:r>
      <w:r w:rsidR="0032795B">
        <w:t xml:space="preserve">31. prosinca </w:t>
      </w:r>
      <w:r>
        <w:t xml:space="preserve">2025. godine ostvareni su u iznosu od </w:t>
      </w:r>
      <w:r w:rsidR="001E2B2F" w:rsidRPr="001E2B2F">
        <w:t>27.304,33</w:t>
      </w:r>
      <w:r w:rsidR="001E2B2F">
        <w:rPr>
          <w:sz w:val="18"/>
        </w:rPr>
        <w:t xml:space="preserve"> </w:t>
      </w:r>
      <w:r>
        <w:t xml:space="preserve">€, odnosno </w:t>
      </w:r>
      <w:r w:rsidR="001E2B2F">
        <w:t xml:space="preserve">18,2 </w:t>
      </w:r>
      <w:r>
        <w:t xml:space="preserve">% ili  </w:t>
      </w:r>
      <w:r w:rsidR="001E2B2F">
        <w:t>4.205,59</w:t>
      </w:r>
      <w:r>
        <w:t xml:space="preserve"> € </w:t>
      </w:r>
      <w:r w:rsidR="001E2B2F">
        <w:t>više</w:t>
      </w:r>
      <w:r>
        <w:t xml:space="preserve"> u odnosu na iste ostvarene u istom razdoblju 2024. godine. Na </w:t>
      </w:r>
      <w:r w:rsidR="001E2B2F">
        <w:t>rast</w:t>
      </w:r>
      <w:r>
        <w:t xml:space="preserve"> rashoda za naknadu troškova zaposlenima </w:t>
      </w:r>
      <w:r w:rsidR="001E2B2F">
        <w:t>2025. godine</w:t>
      </w:r>
      <w:r>
        <w:t xml:space="preserve"> najvećim je dijelom utjecalo </w:t>
      </w:r>
      <w:r w:rsidR="001E2B2F">
        <w:t>povećanje</w:t>
      </w:r>
      <w:r>
        <w:t xml:space="preserve"> rashoda za naknade za prijevoz</w:t>
      </w:r>
      <w:r w:rsidR="001E2B2F">
        <w:t xml:space="preserve">, povećanje </w:t>
      </w:r>
      <w:r>
        <w:t>rashod</w:t>
      </w:r>
      <w:r w:rsidR="001E2B2F">
        <w:t>a</w:t>
      </w:r>
      <w:r>
        <w:t xml:space="preserve"> za stručno osposobljavanje zaposlenika </w:t>
      </w:r>
      <w:r w:rsidR="001E2B2F">
        <w:t>uslijed rasta broja zaposlenih.</w:t>
      </w:r>
    </w:p>
    <w:p w14:paraId="3D0E408D" w14:textId="77777777" w:rsidR="005C6928" w:rsidRDefault="005C6928"/>
    <w:p w14:paraId="66CF2601" w14:textId="77777777" w:rsidR="005C6928" w:rsidRDefault="0090404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6FF526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1EAD3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A8128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9D9F0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A9013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5F21B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5E167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6928" w14:paraId="2140CD6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C2C60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CF19D7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F4B70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9DC4C1" w14:textId="5CFE5383" w:rsidR="005C6928" w:rsidRDefault="001E2B2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101.381,24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91FB61" w14:textId="35D9EF8D" w:rsidR="005C6928" w:rsidRDefault="001E2B2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107.996,64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574DA" w14:textId="5211BF0A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</w:t>
            </w:r>
            <w:r w:rsidR="001E2B2F">
              <w:rPr>
                <w:sz w:val="18"/>
              </w:rPr>
              <w:t>06,5</w:t>
            </w:r>
          </w:p>
        </w:tc>
      </w:tr>
    </w:tbl>
    <w:p w14:paraId="4E13B138" w14:textId="77777777" w:rsidR="005C6928" w:rsidRDefault="005C6928">
      <w:pPr>
        <w:spacing w:after="0"/>
      </w:pPr>
    </w:p>
    <w:p w14:paraId="648286E9" w14:textId="424EF5DD" w:rsidR="005C6928" w:rsidRDefault="0090404C">
      <w:pPr>
        <w:spacing w:line="240" w:lineRule="auto"/>
        <w:jc w:val="both"/>
      </w:pPr>
      <w:r>
        <w:t xml:space="preserve">Rashodi za materijal i energiju u razdoblju od 1. siječnja do </w:t>
      </w:r>
      <w:r w:rsidR="0032795B">
        <w:t xml:space="preserve">31. prosinca </w:t>
      </w:r>
      <w:r>
        <w:t xml:space="preserve">2025. godine ostvareni su u iznosu od </w:t>
      </w:r>
      <w:r w:rsidR="001E2B2F" w:rsidRPr="001E2B2F">
        <w:t>107.996,64</w:t>
      </w:r>
      <w:r w:rsidR="001E2B2F">
        <w:rPr>
          <w:sz w:val="18"/>
        </w:rPr>
        <w:t xml:space="preserve"> </w:t>
      </w:r>
      <w:r>
        <w:t xml:space="preserve">€, odnosno </w:t>
      </w:r>
      <w:r w:rsidR="001E2B2F">
        <w:t>6</w:t>
      </w:r>
      <w:r>
        <w:t>,</w:t>
      </w:r>
      <w:r w:rsidR="001E2B2F">
        <w:t>5</w:t>
      </w:r>
      <w:r>
        <w:t xml:space="preserve">% ili </w:t>
      </w:r>
      <w:r w:rsidR="001E2B2F">
        <w:t>6.615,4</w:t>
      </w:r>
      <w:r>
        <w:t xml:space="preserve"> € više u odnosu na iste rashode ostvarene u promatranom razdoblju 2024. godine. Na rast rashoda za materijal i energiju utjecalo je uvećanje rashoda za uredski materijal i ostale materijalne rashode koji su ostvareni za </w:t>
      </w:r>
      <w:r w:rsidR="00334BAB">
        <w:t>30,0</w:t>
      </w:r>
      <w:r>
        <w:t xml:space="preserve"> %, odnosno </w:t>
      </w:r>
      <w:r w:rsidR="00334BAB">
        <w:t>5.990,07</w:t>
      </w:r>
      <w:r>
        <w:t xml:space="preserve"> € više u odnosu na ostvarenje u istom razdoblju 2024. godine, zatim uvećanje</w:t>
      </w:r>
      <w:r w:rsidR="00334BAB">
        <w:t xml:space="preserve"> </w:t>
      </w:r>
      <w:r>
        <w:t>rashod</w:t>
      </w:r>
      <w:r w:rsidR="00334BAB">
        <w:t>a</w:t>
      </w:r>
      <w:r>
        <w:t xml:space="preserve"> za energiju koji su ostvareni za 2</w:t>
      </w:r>
      <w:r w:rsidR="00334BAB">
        <w:t>1</w:t>
      </w:r>
      <w:r>
        <w:t>,</w:t>
      </w:r>
      <w:r w:rsidR="00334BAB">
        <w:t>6</w:t>
      </w:r>
      <w:r>
        <w:t xml:space="preserve">%, odnosno </w:t>
      </w:r>
      <w:r w:rsidR="00334BAB">
        <w:t>3.802,33</w:t>
      </w:r>
      <w:r>
        <w:t xml:space="preserve"> € više nego u promatranom razdoblju prošle godinu. Zatim rashodi za materijal i dijelove za tekuće i investicijsko održavanje koji su ostvareni za 7</w:t>
      </w:r>
      <w:r w:rsidR="00334BAB">
        <w:t>4</w:t>
      </w:r>
      <w:r>
        <w:t>,</w:t>
      </w:r>
      <w:r w:rsidR="00334BAB">
        <w:t>4</w:t>
      </w:r>
      <w:r>
        <w:t>% ili 1.</w:t>
      </w:r>
      <w:r w:rsidR="00334BAB">
        <w:t>783,43</w:t>
      </w:r>
      <w:r>
        <w:t xml:space="preserve"> € više</w:t>
      </w:r>
      <w:r w:rsidR="006438B9">
        <w:t xml:space="preserve"> nego 2024. godine</w:t>
      </w:r>
      <w:r>
        <w:t xml:space="preserve">, rashodi za sitni inventar i </w:t>
      </w:r>
      <w:proofErr w:type="spellStart"/>
      <w:r>
        <w:t>autogume</w:t>
      </w:r>
      <w:proofErr w:type="spellEnd"/>
      <w:r>
        <w:t xml:space="preserve"> koji su ostvareni za </w:t>
      </w:r>
      <w:r w:rsidR="00334BAB">
        <w:t>20,1</w:t>
      </w:r>
      <w:r>
        <w:t>% il</w:t>
      </w:r>
      <w:r w:rsidR="00334BAB">
        <w:t>i 646,05</w:t>
      </w:r>
      <w:r>
        <w:t xml:space="preserve"> € više nego 2024. godine</w:t>
      </w:r>
      <w:r w:rsidR="00334BAB">
        <w:t>.</w:t>
      </w:r>
      <w:r>
        <w:t xml:space="preserve"> </w:t>
      </w:r>
      <w:r w:rsidR="00334BAB">
        <w:t xml:space="preserve">Troškovi sirovina i materijala manji su u odnosu na 2024. godinu za 9,4%, te troškovi za službenu, radnu i zaštitnu odjeću i obuću manji su za </w:t>
      </w:r>
      <w:r w:rsidR="0074133F">
        <w:t>16,8%</w:t>
      </w:r>
      <w:r w:rsidR="006438B9">
        <w:t xml:space="preserve"> u odnosu na 2024. godinu.</w:t>
      </w:r>
    </w:p>
    <w:p w14:paraId="7E7E831D" w14:textId="77777777" w:rsidR="005C6928" w:rsidRDefault="005C6928"/>
    <w:p w14:paraId="5678F402" w14:textId="77777777" w:rsidR="005C6928" w:rsidRDefault="0090404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2B165A4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5CFF5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7E50A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A6E00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AC6C5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86C6D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46AE9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6928" w14:paraId="3FC34D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1B2A8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7F833D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A9B71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8A278D" w14:textId="5197B9CA" w:rsidR="005C6928" w:rsidRDefault="007413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36.480,09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C1C79" w14:textId="386F5642" w:rsidR="005C6928" w:rsidRDefault="007413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54.969,36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D160A" w14:textId="6EE2C4D5" w:rsidR="005C6928" w:rsidRDefault="007413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150,7</w:t>
            </w:r>
          </w:p>
        </w:tc>
      </w:tr>
    </w:tbl>
    <w:p w14:paraId="427E5FF5" w14:textId="77777777" w:rsidR="005C6928" w:rsidRDefault="005C6928">
      <w:pPr>
        <w:spacing w:after="0"/>
      </w:pPr>
    </w:p>
    <w:p w14:paraId="05342288" w14:textId="0D22F9B4" w:rsidR="005C6928" w:rsidRDefault="0090404C" w:rsidP="004F61EF">
      <w:pPr>
        <w:spacing w:line="240" w:lineRule="auto"/>
        <w:jc w:val="both"/>
      </w:pPr>
      <w:r>
        <w:t xml:space="preserve">Rashodi za usluge u razdoblju od 1. siječnja do </w:t>
      </w:r>
      <w:r w:rsidR="0032795B">
        <w:t xml:space="preserve">31. prosinca </w:t>
      </w:r>
      <w:r>
        <w:t xml:space="preserve">2025. godine ostvareni su u iznosu od </w:t>
      </w:r>
      <w:r w:rsidR="0074133F" w:rsidRPr="0074133F">
        <w:t>54.969,36</w:t>
      </w:r>
      <w:r w:rsidR="0074133F">
        <w:t xml:space="preserve"> </w:t>
      </w:r>
      <w:r>
        <w:t>€, odnosno 5</w:t>
      </w:r>
      <w:r w:rsidR="0074133F">
        <w:t>0</w:t>
      </w:r>
      <w:r>
        <w:t>,</w:t>
      </w:r>
      <w:r w:rsidR="0074133F">
        <w:t>7</w:t>
      </w:r>
      <w:r>
        <w:t>% ili 1</w:t>
      </w:r>
      <w:r w:rsidR="0074133F">
        <w:t>8.489,27</w:t>
      </w:r>
      <w:r>
        <w:t xml:space="preserve"> € više u odnosu na iste rashode ostvarene u promatranom razdoblju 2024. godine. Na rast rashoda za usluge utjecalo je uvećanje rashoda za </w:t>
      </w:r>
      <w:r w:rsidR="0074133F">
        <w:t xml:space="preserve">komunalne usluge </w:t>
      </w:r>
      <w:r w:rsidR="004F61EF">
        <w:t xml:space="preserve">koji su ostvareni </w:t>
      </w:r>
      <w:r w:rsidR="0074133F">
        <w:t>za 1,5% ili 60,69€</w:t>
      </w:r>
      <w:r w:rsidR="004F61EF">
        <w:t xml:space="preserve"> više nego u promatranom razdoblju prošle godine</w:t>
      </w:r>
      <w:r w:rsidR="0074133F">
        <w:t>, zatim uvećanje rashoda za intelektualne usluge za 191,0% ili u iznosu 21.242,17€, uvećanje rashoda za računalne usluge u iznosu 151,9 % ili 4.426,16€</w:t>
      </w:r>
      <w:r w:rsidR="002B0194">
        <w:t xml:space="preserve"> u odnosu na </w:t>
      </w:r>
      <w:r w:rsidR="002B0194">
        <w:lastRenderedPageBreak/>
        <w:t xml:space="preserve">promatrano razdoblje 2024. godine. </w:t>
      </w:r>
      <w:r w:rsidR="004F61EF">
        <w:t>Rashodi telefona manji su za 22,3% ili 423,31€, rashodi za usluge tekućeg i investicijskog održavanja manji su za 23,4% ili 2.173,73€, te rashodi za zdravstvene usluge manji su za 13,5 % ili 368,2€</w:t>
      </w:r>
      <w:r w:rsidR="00D0316D">
        <w:t xml:space="preserve"> u odnosu na promatrano razdoblje 2024. godine.</w:t>
      </w:r>
      <w:r w:rsidR="004F61EF">
        <w:t xml:space="preserve"> </w:t>
      </w:r>
    </w:p>
    <w:p w14:paraId="3C1D7DCB" w14:textId="77777777" w:rsidR="005C6928" w:rsidRDefault="005C6928"/>
    <w:p w14:paraId="526FAC09" w14:textId="77777777" w:rsidR="005C6928" w:rsidRDefault="0090404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6CE4D2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7C690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94E5E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02DA3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3969D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5DB0D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16FA4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6928" w14:paraId="14A36E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59BA3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107BD4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B5605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FEE21" w14:textId="28FB8A9F" w:rsidR="005C6928" w:rsidRDefault="00483E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EF72E8" w14:textId="51DE3099" w:rsidR="005C6928" w:rsidRDefault="00483E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17FF21" w14:textId="709D7FCC" w:rsidR="005C6928" w:rsidRDefault="00483E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103,9</w:t>
            </w:r>
          </w:p>
        </w:tc>
      </w:tr>
    </w:tbl>
    <w:p w14:paraId="5CD12D55" w14:textId="77777777" w:rsidR="005C6928" w:rsidRDefault="005C6928">
      <w:pPr>
        <w:spacing w:after="0"/>
      </w:pPr>
    </w:p>
    <w:p w14:paraId="5FC503DF" w14:textId="6BC0B6A2" w:rsidR="005C6928" w:rsidRDefault="0090404C">
      <w:pPr>
        <w:spacing w:line="240" w:lineRule="auto"/>
        <w:jc w:val="both"/>
      </w:pPr>
      <w:r>
        <w:t xml:space="preserve">Ostali nespomenuti rashodi poslovanja u razdoblju od 1. siječnja do </w:t>
      </w:r>
      <w:r w:rsidR="0032795B">
        <w:t xml:space="preserve">31. prosinca </w:t>
      </w:r>
      <w:r>
        <w:t xml:space="preserve">2025. godine ostvareni su u iznosu od </w:t>
      </w:r>
      <w:r w:rsidR="00165748">
        <w:t>3.448,45</w:t>
      </w:r>
      <w:r>
        <w:t xml:space="preserve"> €, odnosno </w:t>
      </w:r>
      <w:r w:rsidR="004F61EF">
        <w:t>3</w:t>
      </w:r>
      <w:r w:rsidR="00165748">
        <w:t>,9</w:t>
      </w:r>
      <w:r>
        <w:t xml:space="preserve">% ili </w:t>
      </w:r>
      <w:r w:rsidR="00165748">
        <w:t>129,9</w:t>
      </w:r>
      <w:r>
        <w:t xml:space="preserve"> € </w:t>
      </w:r>
      <w:r w:rsidR="00983654">
        <w:t>više</w:t>
      </w:r>
      <w:r>
        <w:t xml:space="preserve"> u odnosu na iste rashode ostvarene u promatranom razdoblju 2024. godine. Rashodi za premije osiguranja ostvareni su za 2,8% ili 44,38€ više u odnosu na isto razdoblje 2024. godine.</w:t>
      </w:r>
      <w:r w:rsidR="00983654">
        <w:t xml:space="preserve"> Ostali nespomenuti rashodi poslovanja ostvareni su za 31,8% ili </w:t>
      </w:r>
      <w:r w:rsidR="0027539B">
        <w:t xml:space="preserve">322,87€ više u odnosu na prethodno razdoblje. </w:t>
      </w:r>
      <w:r w:rsidR="00983654">
        <w:t xml:space="preserve">Rashodi za troškove reprezentacije umanjeni su za 31,0%, ili 158,63€ u odnosu na promatrano razdoblje prošle godine. Rashodi za pristojbe i naknade manji su u odnosu na prošlu godinu za 41,3% ili 78,72€. </w:t>
      </w:r>
    </w:p>
    <w:p w14:paraId="243274BB" w14:textId="77777777" w:rsidR="005C6928" w:rsidRDefault="005C6928"/>
    <w:p w14:paraId="3EB4E0EE" w14:textId="77777777" w:rsidR="005C6928" w:rsidRDefault="0090404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1C7A7D6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5F0BD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15A2E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D502E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9DAC4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A53D1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E3EC3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6928" w14:paraId="6E18EF8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9CBF6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82534A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21D30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6BC71" w14:textId="3661CF06" w:rsidR="005C6928" w:rsidRDefault="002753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D7F439" w14:textId="67153061" w:rsidR="005C6928" w:rsidRDefault="002753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0F8E4" w14:textId="34F0253A" w:rsidR="005C6928" w:rsidRDefault="002753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89,0</w:t>
            </w:r>
          </w:p>
        </w:tc>
      </w:tr>
    </w:tbl>
    <w:p w14:paraId="4DAB2BA6" w14:textId="77777777" w:rsidR="005C6928" w:rsidRDefault="005C6928">
      <w:pPr>
        <w:spacing w:after="0"/>
      </w:pPr>
    </w:p>
    <w:p w14:paraId="3AB64BF5" w14:textId="202A3C87" w:rsidR="005C6928" w:rsidRDefault="0090404C">
      <w:pPr>
        <w:spacing w:line="240" w:lineRule="auto"/>
        <w:jc w:val="both"/>
      </w:pPr>
      <w:r>
        <w:t xml:space="preserve">Ostali financijski rashodi u razdoblju od 1. siječnja do </w:t>
      </w:r>
      <w:r w:rsidR="0032795B">
        <w:t xml:space="preserve">31. prosinca </w:t>
      </w:r>
      <w:r>
        <w:t xml:space="preserve">2025. godine ostvareni su u iznosu od </w:t>
      </w:r>
      <w:r w:rsidR="0027539B">
        <w:t>1.280,72</w:t>
      </w:r>
      <w:r>
        <w:t xml:space="preserve">€, odnosno </w:t>
      </w:r>
      <w:r w:rsidR="0027539B">
        <w:t>11</w:t>
      </w:r>
      <w:r>
        <w:t xml:space="preserve">% ili </w:t>
      </w:r>
      <w:r w:rsidR="0027539B">
        <w:t>157,68</w:t>
      </w:r>
      <w:r>
        <w:t xml:space="preserve"> € manje u odnosu na iste rashode ostvarene u promatranom razdoblju 2024. godine. Na pad tih rashoda najviše  je utjecalo umanjenje rashoda bankarske usluge i usluge platnog prometa.</w:t>
      </w:r>
    </w:p>
    <w:p w14:paraId="7E8CC8DF" w14:textId="77777777" w:rsidR="005C6928" w:rsidRDefault="005C6928"/>
    <w:p w14:paraId="7A030F2A" w14:textId="77777777" w:rsidR="005C6928" w:rsidRDefault="0090404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6928" w14:paraId="27CB432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9BDB6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FC7E9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4F27C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76BC5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E2D8C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62A8D" w14:textId="77777777" w:rsidR="005C6928" w:rsidRDefault="009040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6928" w14:paraId="2D69D6A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B3602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B3CF94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F4D57" w14:textId="77777777" w:rsidR="005C6928" w:rsidRDefault="009040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6BDA7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6683C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9CB52" w14:textId="77777777" w:rsidR="005C6928" w:rsidRDefault="009040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5C20DA" w14:textId="77777777" w:rsidR="005C6928" w:rsidRDefault="005C6928">
      <w:pPr>
        <w:spacing w:after="0"/>
      </w:pPr>
    </w:p>
    <w:p w14:paraId="79652BC6" w14:textId="0A53B53F" w:rsidR="005C6928" w:rsidRDefault="0090404C">
      <w:pPr>
        <w:spacing w:line="240" w:lineRule="auto"/>
        <w:jc w:val="both"/>
      </w:pPr>
      <w:r>
        <w:t xml:space="preserve">Rashodi za nabavu nefinancijske imovine u razdoblju od 1. siječnja do </w:t>
      </w:r>
      <w:r w:rsidR="0032795B">
        <w:t xml:space="preserve">31. prosinca </w:t>
      </w:r>
      <w:r>
        <w:t>2025. godine ostvareni su u iznosu od 2.500,00 €, dok prethodne godine nisu zabilježeni. Odnose se na rashode za nabavu</w:t>
      </w:r>
      <w:r w:rsidR="00575D50">
        <w:t xml:space="preserve"> opreme, odnosno stroja za pranje posuđa.</w:t>
      </w:r>
    </w:p>
    <w:p w14:paraId="394D504E" w14:textId="77777777" w:rsidR="005C6928" w:rsidRDefault="005C6928"/>
    <w:p w14:paraId="2C168D2A" w14:textId="77777777" w:rsidR="00011354" w:rsidRDefault="00011354" w:rsidP="00011354">
      <w:pPr>
        <w:jc w:val="both"/>
      </w:pPr>
      <w:r>
        <w:rPr>
          <w:b/>
          <w:bCs/>
        </w:rPr>
        <w:lastRenderedPageBreak/>
        <w:t>BILJEŠKE UZ OBRAZAC BILANCA</w:t>
      </w:r>
      <w:r>
        <w:t xml:space="preserve"> </w:t>
      </w:r>
    </w:p>
    <w:p w14:paraId="3A2C31FC" w14:textId="0AC6FF62" w:rsidR="00011354" w:rsidRDefault="00011354" w:rsidP="00011354">
      <w:pPr>
        <w:jc w:val="both"/>
      </w:pPr>
      <w:r>
        <w:t>Ukupna imovina jednaka je obvezama i vlastitim izvorima te iznosi 200.220,28</w:t>
      </w:r>
      <w:r w:rsidR="00575D50">
        <w:t xml:space="preserve"> </w:t>
      </w:r>
      <w:r>
        <w:t>€</w:t>
      </w:r>
      <w:r w:rsidR="00626CCE">
        <w:t xml:space="preserve">. </w:t>
      </w:r>
    </w:p>
    <w:p w14:paraId="5CC01D38" w14:textId="77777777" w:rsidR="00011354" w:rsidRDefault="00011354" w:rsidP="00011354">
      <w:pPr>
        <w:jc w:val="both"/>
      </w:pPr>
      <w:r>
        <w:t>Poslovni objekti zabilježeni su u iznosu od 250.556,77 € uz ispravak vrijednosti građevinskih objekata u iznosu od 250.556,77 €.</w:t>
      </w:r>
    </w:p>
    <w:p w14:paraId="512DE11B" w14:textId="0E312B7F" w:rsidR="00011354" w:rsidRDefault="00011354" w:rsidP="00011354">
      <w:pPr>
        <w:jc w:val="both"/>
      </w:pPr>
      <w:r>
        <w:t xml:space="preserve">Postrojenja i oprema zabilježeni su u iznosu od 3.682,29 € od čega: </w:t>
      </w:r>
    </w:p>
    <w:p w14:paraId="6821BAFF" w14:textId="33C3D3D1" w:rsidR="00011354" w:rsidRDefault="00011354" w:rsidP="00011354">
      <w:pPr>
        <w:jc w:val="both"/>
      </w:pPr>
      <w:r>
        <w:t>-uređaji, strojevi i oprema u iznosu od 2.799,99 €</w:t>
      </w:r>
    </w:p>
    <w:p w14:paraId="710FC1F1" w14:textId="77777777" w:rsidR="00011354" w:rsidRDefault="00011354" w:rsidP="00011354">
      <w:pPr>
        <w:jc w:val="both"/>
      </w:pPr>
      <w:r>
        <w:t>-uredska oprema i namještaj u iznosu od 44.170,82 €,</w:t>
      </w:r>
    </w:p>
    <w:p w14:paraId="04903DAE" w14:textId="77777777" w:rsidR="00011354" w:rsidRDefault="00011354" w:rsidP="00011354">
      <w:pPr>
        <w:jc w:val="both"/>
      </w:pPr>
      <w:r>
        <w:t>-komunikacijska oprema u iznosu od 121,96€,</w:t>
      </w:r>
    </w:p>
    <w:p w14:paraId="2C9AEAE5" w14:textId="77777777" w:rsidR="00011354" w:rsidRDefault="00011354" w:rsidP="00011354">
      <w:pPr>
        <w:jc w:val="both"/>
      </w:pPr>
      <w:r>
        <w:t>-instrumenti, uređaji i strojevi u iznosu od 2.681,39 €,</w:t>
      </w:r>
    </w:p>
    <w:p w14:paraId="4E320CE3" w14:textId="77777777" w:rsidR="00011354" w:rsidRDefault="00011354" w:rsidP="00011354">
      <w:pPr>
        <w:jc w:val="both"/>
      </w:pPr>
      <w:r>
        <w:t>-sportska i glazbena oprema u iznosu od 1.393,59 €,</w:t>
      </w:r>
    </w:p>
    <w:p w14:paraId="7125350E" w14:textId="3DF8DBC7" w:rsidR="00011354" w:rsidRDefault="00011354" w:rsidP="00011354">
      <w:pPr>
        <w:jc w:val="both"/>
      </w:pPr>
      <w:r>
        <w:t>dok ispravak vrijednosti postrojenja i opreme iznosi 47.485,46 €.</w:t>
      </w:r>
    </w:p>
    <w:p w14:paraId="220949D0" w14:textId="77777777" w:rsidR="009E6F5F" w:rsidRDefault="009E6F5F" w:rsidP="00011354">
      <w:pPr>
        <w:jc w:val="both"/>
      </w:pPr>
    </w:p>
    <w:p w14:paraId="070BF5C6" w14:textId="0372CF1F" w:rsidR="00011354" w:rsidRDefault="00011354" w:rsidP="00011354">
      <w:pPr>
        <w:jc w:val="both"/>
      </w:pPr>
      <w:r>
        <w:t>Sitni inventar iznosi 5.364,42 €, uz ispravak vrijed</w:t>
      </w:r>
      <w:r w:rsidR="00F92063">
        <w:t>.</w:t>
      </w:r>
      <w:r>
        <w:t xml:space="preserve"> sitnog inventara u iznosu od 5.364,42 €. </w:t>
      </w:r>
    </w:p>
    <w:p w14:paraId="6AF3668C" w14:textId="60771BBE" w:rsidR="00011354" w:rsidRDefault="00011354" w:rsidP="00011354">
      <w:pPr>
        <w:jc w:val="both"/>
      </w:pPr>
      <w:r>
        <w:t xml:space="preserve">Financijska imovina iznosi </w:t>
      </w:r>
      <w:r w:rsidR="001E0D60">
        <w:t>139.506,60</w:t>
      </w:r>
      <w:r>
        <w:t xml:space="preserve"> € od čega:</w:t>
      </w:r>
    </w:p>
    <w:p w14:paraId="16B1EBD8" w14:textId="1426CB20" w:rsidR="00011354" w:rsidRDefault="009E6F5F" w:rsidP="009E6F5F">
      <w:pPr>
        <w:jc w:val="both"/>
      </w:pPr>
      <w:r>
        <w:t xml:space="preserve">- </w:t>
      </w:r>
      <w:r w:rsidR="00011354">
        <w:t xml:space="preserve">Novac na računu i blagajni  </w:t>
      </w:r>
      <w:r w:rsidR="001E0D60">
        <w:t>112.587,22</w:t>
      </w:r>
      <w:r w:rsidR="00011354">
        <w:t xml:space="preserve"> €</w:t>
      </w:r>
      <w:r w:rsidR="00C90646">
        <w:t xml:space="preserve"> (dotacija Grada Lepoglava u iznosu 86.193,10 € za rashode za plaću zaposlenih koja je isplaćena u siječnju 2026. za prosinac 2025.)</w:t>
      </w:r>
    </w:p>
    <w:p w14:paraId="42B16EFF" w14:textId="25FA701C" w:rsidR="00011354" w:rsidRDefault="00011354" w:rsidP="00011354">
      <w:pPr>
        <w:jc w:val="both"/>
      </w:pPr>
      <w:r>
        <w:t xml:space="preserve">- Depoziti, </w:t>
      </w:r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 xml:space="preserve"> i potraživanja od zaposlenih te za više plaćene poreze i ostalo </w:t>
      </w:r>
      <w:r w:rsidR="00626CCE">
        <w:t xml:space="preserve">iznose </w:t>
      </w:r>
      <w:r w:rsidR="001E0D60">
        <w:t>9.369,69</w:t>
      </w:r>
      <w:r>
        <w:t xml:space="preserve"> €.</w:t>
      </w:r>
    </w:p>
    <w:p w14:paraId="7EF023B9" w14:textId="36AE7986" w:rsidR="00011354" w:rsidRDefault="00011354" w:rsidP="00011354">
      <w:pPr>
        <w:jc w:val="both"/>
      </w:pPr>
      <w:r>
        <w:t xml:space="preserve">Potraživanja za prihode poslovanja iznose </w:t>
      </w:r>
      <w:r w:rsidR="00A23BA6">
        <w:t>17.549,69</w:t>
      </w:r>
      <w:r>
        <w:t xml:space="preserve"> €. </w:t>
      </w:r>
    </w:p>
    <w:p w14:paraId="128D02D4" w14:textId="02516929" w:rsidR="00011354" w:rsidRDefault="00011354" w:rsidP="00011354">
      <w:pPr>
        <w:jc w:val="both"/>
      </w:pPr>
      <w:r>
        <w:t xml:space="preserve">Višak prihoda poslovanja iznosi </w:t>
      </w:r>
      <w:r w:rsidR="00A23BA6">
        <w:t>52.621,34</w:t>
      </w:r>
      <w:r>
        <w:t xml:space="preserve"> €.</w:t>
      </w:r>
    </w:p>
    <w:p w14:paraId="46B23138" w14:textId="77777777" w:rsidR="00011354" w:rsidRDefault="00011354" w:rsidP="00011354">
      <w:pPr>
        <w:jc w:val="both"/>
      </w:pPr>
    </w:p>
    <w:p w14:paraId="3CE3549D" w14:textId="089DE16E" w:rsidR="00011354" w:rsidRDefault="00011354" w:rsidP="00011354">
      <w:pPr>
        <w:jc w:val="both"/>
        <w:rPr>
          <w:b/>
          <w:bCs/>
        </w:rPr>
      </w:pPr>
      <w:r>
        <w:rPr>
          <w:b/>
          <w:bCs/>
        </w:rPr>
        <w:t>BILJEŠKE UZ IZVJEŠTAJ O RASHO</w:t>
      </w:r>
      <w:r w:rsidR="009E6F5F">
        <w:rPr>
          <w:b/>
          <w:bCs/>
        </w:rPr>
        <w:t>D</w:t>
      </w:r>
      <w:r>
        <w:rPr>
          <w:b/>
          <w:bCs/>
        </w:rPr>
        <w:t>IMA PREMA FUNKCIJSKOJ KLASIFIKACIJI  NA OBRASCU RAS-FUNKCIJSKI</w:t>
      </w:r>
    </w:p>
    <w:p w14:paraId="2E42CA3F" w14:textId="1EE0145C" w:rsidR="00011354" w:rsidRDefault="00011354" w:rsidP="00011354">
      <w:pPr>
        <w:jc w:val="both"/>
      </w:pPr>
      <w:r>
        <w:t xml:space="preserve">Obrazovanje  - rashodi za predškolsko obrazovanje iznose </w:t>
      </w:r>
      <w:r w:rsidR="009E6F5F">
        <w:t>1.131.122,32</w:t>
      </w:r>
      <w:r>
        <w:t xml:space="preserve"> €. U odnosu na prošlu godinu, rashodi prema funkcijskoj klasifikaciji bilježe povećanje od </w:t>
      </w:r>
      <w:r w:rsidR="009E6F5F">
        <w:t>28,2</w:t>
      </w:r>
      <w:r>
        <w:t xml:space="preserve">%. </w:t>
      </w:r>
    </w:p>
    <w:p w14:paraId="6EB3E9DA" w14:textId="77777777" w:rsidR="00F92063" w:rsidRDefault="00F92063" w:rsidP="00011354">
      <w:pPr>
        <w:jc w:val="both"/>
      </w:pPr>
    </w:p>
    <w:p w14:paraId="3AB98852" w14:textId="77777777" w:rsidR="00011354" w:rsidRDefault="00011354" w:rsidP="00011354">
      <w:pPr>
        <w:jc w:val="both"/>
        <w:rPr>
          <w:b/>
          <w:bCs/>
        </w:rPr>
      </w:pPr>
      <w:r>
        <w:rPr>
          <w:b/>
          <w:bCs/>
        </w:rPr>
        <w:t>BILJEŠKE UZ IZVJEŠTAJ O PROMJENAMA U VRIJEDNOST I OBUJMU IMOVINE I OBVEZA NA OBRASCU P-VRIO</w:t>
      </w:r>
    </w:p>
    <w:p w14:paraId="3B1F3613" w14:textId="7E56C1C7" w:rsidR="00011354" w:rsidRDefault="00011354" w:rsidP="00011354">
      <w:pPr>
        <w:jc w:val="both"/>
      </w:pPr>
      <w:r>
        <w:t>Dječji vrtić Lepoglava za izvještajno razdoblje od 01.01. do 31.12.202</w:t>
      </w:r>
      <w:r w:rsidR="009E6F5F">
        <w:t>5</w:t>
      </w:r>
      <w:r>
        <w:t>. godine nema promjena u vrijednosti i obujmu imovine i obveza.</w:t>
      </w:r>
    </w:p>
    <w:p w14:paraId="2FACA8E3" w14:textId="77777777" w:rsidR="00575D50" w:rsidRDefault="00575D50" w:rsidP="00011354">
      <w:pPr>
        <w:jc w:val="both"/>
      </w:pPr>
    </w:p>
    <w:p w14:paraId="376A5371" w14:textId="77777777" w:rsidR="00011354" w:rsidRDefault="00011354" w:rsidP="00011354">
      <w:pPr>
        <w:jc w:val="both"/>
      </w:pPr>
      <w:r>
        <w:rPr>
          <w:b/>
          <w:bCs/>
        </w:rPr>
        <w:lastRenderedPageBreak/>
        <w:t>BILJEŠKE UZ IZVJEŠTAJ O OBVEZAMA NA OBRASCU OBVEZE</w:t>
      </w:r>
    </w:p>
    <w:p w14:paraId="4B931C1E" w14:textId="06CD3BB3" w:rsidR="00011354" w:rsidRDefault="00011354" w:rsidP="00011354">
      <w:pPr>
        <w:jc w:val="both"/>
      </w:pPr>
      <w:r>
        <w:t xml:space="preserve">Povećanje obveza u izvještajnom razdoblju iznosi </w:t>
      </w:r>
      <w:r w:rsidR="009E6F5F">
        <w:t>1.099.514,17</w:t>
      </w:r>
      <w:r>
        <w:t xml:space="preserve"> €, a isto se sastoji od obveza za rashode poslovanja i obveza za nabavu nefinancijske imovine, te uvećano za početno stanje 01.01.202</w:t>
      </w:r>
      <w:r w:rsidR="009E6F5F">
        <w:t>5</w:t>
      </w:r>
      <w:r>
        <w:t xml:space="preserve">. godine u iznosu od </w:t>
      </w:r>
      <w:r w:rsidR="009E6F5F">
        <w:t>61.724,32</w:t>
      </w:r>
      <w:r>
        <w:t xml:space="preserve"> € čini ukupno </w:t>
      </w:r>
      <w:r w:rsidR="00626CCE">
        <w:t xml:space="preserve">1.161.238,49 </w:t>
      </w:r>
      <w:r>
        <w:t>€ obveza.</w:t>
      </w:r>
    </w:p>
    <w:p w14:paraId="59FAF519" w14:textId="0391EF2F" w:rsidR="00011354" w:rsidRDefault="00011354" w:rsidP="00575D50">
      <w:pPr>
        <w:jc w:val="both"/>
      </w:pPr>
      <w:r>
        <w:t xml:space="preserve">U izvještajnom razdoblju podmirene su obveze u ukupnom iznosu od </w:t>
      </w:r>
      <w:r w:rsidR="00626CCE">
        <w:t>1.091.937,37</w:t>
      </w:r>
      <w:r>
        <w:t xml:space="preserve"> € te na kraju izvještajnog razdoblja tj. sa 31.12.202</w:t>
      </w:r>
      <w:r w:rsidR="009E6F5F">
        <w:t>5</w:t>
      </w:r>
      <w:r>
        <w:t>. godine stanje obveza iznosi 6</w:t>
      </w:r>
      <w:r w:rsidR="00626CCE">
        <w:t>9.301,12</w:t>
      </w:r>
      <w:r>
        <w:t xml:space="preserve">€. Dospjelih obveza na kraju izvještajnog razdoblja nema, dok iznos nedospjelih obveza iznosi </w:t>
      </w:r>
      <w:r w:rsidR="00626CCE">
        <w:t>69.301,12</w:t>
      </w:r>
      <w:r>
        <w:t>€.</w:t>
      </w:r>
    </w:p>
    <w:p w14:paraId="2070505D" w14:textId="109189C3" w:rsidR="00011354" w:rsidRDefault="00011354" w:rsidP="00575D50">
      <w:pPr>
        <w:jc w:val="both"/>
        <w:rPr>
          <w:lang w:eastAsia="zh-CN"/>
        </w:rPr>
      </w:pPr>
      <w:r>
        <w:t>Na dan 31. prosinca 202</w:t>
      </w:r>
      <w:r w:rsidR="009E6F5F">
        <w:t>5</w:t>
      </w:r>
      <w:r>
        <w:t xml:space="preserve">. godine Dječji vrtić Lepoglava ima ukupno </w:t>
      </w:r>
      <w:r w:rsidR="009E6F5F">
        <w:t>43</w:t>
      </w:r>
      <w:r>
        <w:t xml:space="preserve"> zaposlen</w:t>
      </w:r>
      <w:r w:rsidR="00626CCE">
        <w:t>a</w:t>
      </w:r>
      <w:r>
        <w:t xml:space="preserve"> u oba odjeljenja DV Lepoglava i DV </w:t>
      </w:r>
      <w:proofErr w:type="spellStart"/>
      <w:r>
        <w:t>Višnjica</w:t>
      </w:r>
      <w:proofErr w:type="spellEnd"/>
      <w:r>
        <w:t>.</w:t>
      </w:r>
      <w:r>
        <w:rPr>
          <w:lang w:eastAsia="zh-CN"/>
        </w:rPr>
        <w:t xml:space="preserve">                         </w:t>
      </w:r>
    </w:p>
    <w:p w14:paraId="0FC7C03A" w14:textId="6C3B069D" w:rsidR="00011354" w:rsidRDefault="00011354" w:rsidP="00011354">
      <w:pPr>
        <w:suppressAutoHyphens/>
        <w:rPr>
          <w:lang w:eastAsia="zh-CN"/>
        </w:rPr>
      </w:pPr>
      <w:r>
        <w:rPr>
          <w:lang w:eastAsia="zh-CN"/>
        </w:rPr>
        <w:t>Ekonomska cijena redovnog primarnog 10-satnog programa u Dječjem vrtiću LEPOGLAVA i PODRUČNOG ODJELJENJA VIŠNJICA za 202</w:t>
      </w:r>
      <w:r w:rsidR="009E6F5F">
        <w:rPr>
          <w:lang w:eastAsia="zh-CN"/>
        </w:rPr>
        <w:t>5</w:t>
      </w:r>
      <w:r>
        <w:rPr>
          <w:lang w:eastAsia="zh-CN"/>
        </w:rPr>
        <w:t xml:space="preserve">. godinu iznosi </w:t>
      </w:r>
      <w:r w:rsidRPr="00626CCE">
        <w:rPr>
          <w:lang w:eastAsia="zh-CN"/>
        </w:rPr>
        <w:t>296,83</w:t>
      </w:r>
      <w:r>
        <w:rPr>
          <w:lang w:eastAsia="zh-CN"/>
        </w:rPr>
        <w:t xml:space="preserve"> €.</w:t>
      </w:r>
    </w:p>
    <w:p w14:paraId="7D262CA3" w14:textId="77777777" w:rsidR="00011354" w:rsidRDefault="00011354" w:rsidP="00011354">
      <w:pPr>
        <w:jc w:val="both"/>
      </w:pPr>
    </w:p>
    <w:p w14:paraId="76288BBC" w14:textId="77777777" w:rsidR="00011354" w:rsidRDefault="00011354"/>
    <w:p w14:paraId="00054654" w14:textId="77777777" w:rsidR="00011354" w:rsidRDefault="00011354"/>
    <w:sectPr w:rsidR="00011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92577"/>
    <w:multiLevelType w:val="hybridMultilevel"/>
    <w:tmpl w:val="E390B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C78F5"/>
    <w:multiLevelType w:val="hybridMultilevel"/>
    <w:tmpl w:val="4A3AEFB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44317549">
    <w:abstractNumId w:val="1"/>
  </w:num>
  <w:num w:numId="2" w16cid:durableId="71581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28"/>
    <w:rsid w:val="00011354"/>
    <w:rsid w:val="001312BB"/>
    <w:rsid w:val="00165748"/>
    <w:rsid w:val="001B2A52"/>
    <w:rsid w:val="001E0D60"/>
    <w:rsid w:val="001E2B2F"/>
    <w:rsid w:val="0027539B"/>
    <w:rsid w:val="002B0194"/>
    <w:rsid w:val="002C6A85"/>
    <w:rsid w:val="002D689E"/>
    <w:rsid w:val="0032484A"/>
    <w:rsid w:val="0032795B"/>
    <w:rsid w:val="00334BAB"/>
    <w:rsid w:val="003A12D8"/>
    <w:rsid w:val="003B20D0"/>
    <w:rsid w:val="00467B70"/>
    <w:rsid w:val="00483EED"/>
    <w:rsid w:val="004E73B9"/>
    <w:rsid w:val="004F61EF"/>
    <w:rsid w:val="004F6375"/>
    <w:rsid w:val="00554369"/>
    <w:rsid w:val="00565B37"/>
    <w:rsid w:val="00571DDE"/>
    <w:rsid w:val="00573D0A"/>
    <w:rsid w:val="00574161"/>
    <w:rsid w:val="00575D50"/>
    <w:rsid w:val="00582823"/>
    <w:rsid w:val="005838FF"/>
    <w:rsid w:val="005C2937"/>
    <w:rsid w:val="005C6928"/>
    <w:rsid w:val="00626CCE"/>
    <w:rsid w:val="006438B9"/>
    <w:rsid w:val="0074133F"/>
    <w:rsid w:val="008A3F8D"/>
    <w:rsid w:val="0090404C"/>
    <w:rsid w:val="0092472B"/>
    <w:rsid w:val="00942AF2"/>
    <w:rsid w:val="00983654"/>
    <w:rsid w:val="009B1A5C"/>
    <w:rsid w:val="009B5A83"/>
    <w:rsid w:val="009E6F5F"/>
    <w:rsid w:val="009F0D4F"/>
    <w:rsid w:val="00A009E1"/>
    <w:rsid w:val="00A23BA6"/>
    <w:rsid w:val="00AF30BF"/>
    <w:rsid w:val="00B8217E"/>
    <w:rsid w:val="00BF488B"/>
    <w:rsid w:val="00C90646"/>
    <w:rsid w:val="00C971D1"/>
    <w:rsid w:val="00D0316D"/>
    <w:rsid w:val="00D206F9"/>
    <w:rsid w:val="00D5382C"/>
    <w:rsid w:val="00E619A3"/>
    <w:rsid w:val="00E6532D"/>
    <w:rsid w:val="00ED24F1"/>
    <w:rsid w:val="00ED411E"/>
    <w:rsid w:val="00F642E7"/>
    <w:rsid w:val="00F92063"/>
    <w:rsid w:val="00FB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9CE0"/>
  <w15:docId w15:val="{73518B26-B0A3-45E3-AC89-B63C8044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6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 ŽUPANIĆ</cp:lastModifiedBy>
  <cp:revision>9</cp:revision>
  <cp:lastPrinted>2026-03-12T10:38:00Z</cp:lastPrinted>
  <dcterms:created xsi:type="dcterms:W3CDTF">2026-03-09T10:39:00Z</dcterms:created>
  <dcterms:modified xsi:type="dcterms:W3CDTF">2026-03-12T10:40:00Z</dcterms:modified>
</cp:coreProperties>
</file>